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center"/>
        <w:rPr>
          <w:rFonts w:ascii="Clarendon" w:cs="Clarendon" w:hAnsi="Clarendon" w:eastAsia="Clarendon"/>
          <w:b w:val="1"/>
          <w:bCs w:val="1"/>
          <w:sz w:val="44"/>
          <w:szCs w:val="44"/>
        </w:rPr>
      </w:pP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Predviano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č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n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 xml:space="preserve">á 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spove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 xml:space="preserve">ď 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2015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 xml:space="preserve"> 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v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 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dekan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á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 xml:space="preserve">te Vranov </w:t>
      </w:r>
      <w:r>
        <w:rPr>
          <w:rFonts w:ascii="Clarendon" w:cs="Clarendon" w:hAnsi="Clarendon" w:eastAsia="Clarendon"/>
          <w:b w:val="1"/>
          <w:bCs w:val="1"/>
          <w:sz w:val="46"/>
          <w:szCs w:val="46"/>
          <w:rtl w:val="0"/>
        </w:rPr>
        <w:t>n. T.</w:t>
      </w:r>
    </w:p>
    <w:tbl>
      <w:tblPr>
        <w:tblW w:w="71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3681"/>
        <w:gridCol w:w="170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Utorok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15. XII.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Po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a, Ku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n, Rakovec n/O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vertAlign w:val="baseline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 xml:space="preserve">30 </w:t>
            </w:r>
            <w:r>
              <w:rPr>
                <w:b w:val="1"/>
                <w:bCs w:val="1"/>
                <w:sz w:val="28"/>
                <w:szCs w:val="28"/>
                <w:vertAlign w:val="baseline"/>
                <w:rtl w:val="0"/>
              </w:rPr>
              <w:t>- 18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Kamenn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Poruba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 xml:space="preserve">00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- 18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Lomnica, Davidov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 xml:space="preserve">00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- 18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Streda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16. XII.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Ni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Hrabovec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Skrabsk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Vy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ý 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ipov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Dlh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Kl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ovo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 xml:space="preserve">00 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Š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tvrtok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17. XII.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Hencovce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Slovensk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Kaj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ň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- 18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aklov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Z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mutov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18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Vranov n/T -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emern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 xml:space="preserve">00 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Piatok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18. XII.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Mal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Doma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Ni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Hru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ov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alob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- 18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Pavlovce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Hanu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ovce n/T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Sa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urov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 xml:space="preserve">00 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Sobota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19. XII.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Pod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va, Majerovce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09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- 10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Hanu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ovce n/T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09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Vranov n/T -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emern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09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- 12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Sedlisk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10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- 11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Tovarn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13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- 14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So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ľ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13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Vechec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14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Bystr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Bystr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(Kol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nia)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od 16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Vranov n/T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Juh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40" w:lineRule="auto"/>
              <w:jc w:val="left"/>
              <w:rPr>
                <w:b w:val="1"/>
                <w:bCs w:val="1"/>
                <w:sz w:val="28"/>
                <w:szCs w:val="28"/>
                <w:vertAlign w:val="superscript"/>
              </w:rPr>
            </w:pPr>
            <w:r>
              <w:rPr>
                <w:b w:val="1"/>
                <w:bCs w:val="1"/>
                <w:sz w:val="28"/>
                <w:szCs w:val="28"/>
                <w:vertAlign w:val="baseline"/>
                <w:rtl w:val="0"/>
              </w:rPr>
              <w:t>09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vertAlign w:val="baseline"/>
                <w:rtl w:val="0"/>
                <w:lang w:val="de-DE"/>
              </w:rPr>
              <w:t xml:space="preserve"> - 12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  <w:p>
            <w:pPr>
              <w:pStyle w:val="Normal.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14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</w:p>
        </w:tc>
      </w:tr>
      <w:tr>
        <w:tblPrEx>
          <w:shd w:val="clear" w:color="auto" w:fill="ced7e7"/>
        </w:tblPrEx>
        <w:trPr>
          <w:trHeight w:val="88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nl-NL"/>
              </w:rPr>
              <w:t>Nede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ľ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20. XII.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40" w:lineRule="auto"/>
              <w:jc w:val="left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Vranov n/T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–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Sever </w:t>
            </w:r>
          </w:p>
          <w:p>
            <w:pPr>
              <w:pStyle w:val="Normal.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(bazilika)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40" w:lineRule="auto"/>
              <w:jc w:val="left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15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00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- 17</w:t>
            </w:r>
            <w:r>
              <w:rPr>
                <w:b w:val="1"/>
                <w:bCs w:val="1"/>
                <w:sz w:val="28"/>
                <w:szCs w:val="28"/>
                <w:vertAlign w:val="superscript"/>
                <w:rtl w:val="0"/>
              </w:rPr>
              <w:t>30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sz w:val="14"/>
          <w:szCs w:val="14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larendo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